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ind w:left="0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</w:r>
      <w:r/>
    </w:p>
    <w:p>
      <w:pPr>
        <w:pStyle w:val="641"/>
        <w:ind w:left="0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«УТВЕРЖДЕНО»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«ЦСИ»</w:t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/>
    </w:p>
    <w:p>
      <w:pPr>
        <w:pStyle w:val="641"/>
        <w:ind w:left="0"/>
        <w:spacing w:before="4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15"/>
        </w:rPr>
      </w:r>
      <w:r/>
    </w:p>
    <w:p>
      <w:pPr>
        <w:pStyle w:val="633"/>
        <w:ind w:left="2156" w:right="1417" w:hanging="753"/>
        <w:jc w:val="center"/>
        <w:spacing w:before="122" w:line="249" w:lineRule="auto"/>
        <w:rPr>
          <w:rFonts w:ascii="Times New Roman" w:hAnsi="Times New Roman" w:cs="Times New Roman"/>
          <w:color w:val="231F20"/>
          <w:spacing w:val="-7"/>
        </w:rPr>
      </w:pPr>
      <w:r>
        <w:rPr>
          <w:rFonts w:ascii="Times New Roman" w:hAnsi="Times New Roman" w:cs="Times New Roman"/>
          <w:color w:val="231F20"/>
          <w:spacing w:val="-7"/>
        </w:rPr>
        <w:t xml:space="preserve">Положение</w:t>
      </w:r>
      <w:r>
        <w:rPr>
          <w:rFonts w:ascii="Times New Roman" w:hAnsi="Times New Roman" w:cs="Times New Roman"/>
          <w:color w:val="231F20"/>
          <w:spacing w:val="-7"/>
        </w:rPr>
        <w:t xml:space="preserve"> об установлении сроков гарантийного обслуживания</w:t>
      </w:r>
      <w:r/>
    </w:p>
    <w:p>
      <w:pPr>
        <w:pStyle w:val="633"/>
        <w:ind w:left="2156" w:right="1417" w:hanging="753"/>
        <w:jc w:val="center"/>
        <w:spacing w:before="122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В </w:t>
      </w:r>
      <w:r>
        <w:rPr>
          <w:rFonts w:ascii="Times New Roman" w:hAnsi="Times New Roman" w:cs="Times New Roman"/>
          <w:color w:val="231F20"/>
        </w:rPr>
        <w:t xml:space="preserve">клиниках</w:t>
      </w:r>
      <w:r>
        <w:rPr>
          <w:rFonts w:ascii="Times New Roman" w:hAnsi="Times New Roman" w:cs="Times New Roman"/>
          <w:color w:val="231F20"/>
          <w:spacing w:val="-7"/>
        </w:rPr>
        <w:t xml:space="preserve"> «Центр </w:t>
      </w:r>
      <w:r>
        <w:rPr>
          <w:rFonts w:ascii="Times New Roman" w:hAnsi="Times New Roman" w:cs="Times New Roman"/>
          <w:color w:val="231F20"/>
        </w:rPr>
        <w:t xml:space="preserve">стоматологической </w:t>
      </w:r>
      <w:r>
        <w:rPr>
          <w:rFonts w:ascii="Times New Roman" w:hAnsi="Times New Roman" w:cs="Times New Roman"/>
          <w:color w:val="231F20"/>
        </w:rPr>
        <w:t xml:space="preserve">имплантологи</w:t>
      </w:r>
      <w:r>
        <w:rPr>
          <w:rFonts w:ascii="Times New Roman" w:hAnsi="Times New Roman" w:cs="Times New Roman"/>
          <w:color w:val="231F20"/>
        </w:rPr>
        <w:t xml:space="preserve">и</w:t>
      </w:r>
      <w:r>
        <w:rPr>
          <w:rFonts w:ascii="Times New Roman" w:hAnsi="Times New Roman" w:cs="Times New Roman"/>
          <w:color w:val="231F20"/>
        </w:rPr>
        <w:t xml:space="preserve">»</w:t>
      </w:r>
      <w:r/>
    </w:p>
    <w:p>
      <w:pPr>
        <w:pStyle w:val="641"/>
        <w:ind w:left="0"/>
        <w:jc w:val="center"/>
        <w:spacing w:before="4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</w:r>
      <w:r/>
    </w:p>
    <w:p>
      <w:pPr>
        <w:pStyle w:val="634"/>
        <w:ind w:left="45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1.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Общие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положения</w:t>
      </w:r>
      <w:r/>
    </w:p>
    <w:p>
      <w:pPr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Настоящее Положение разработано </w:t>
      </w:r>
      <w:r>
        <w:rPr>
          <w:rFonts w:ascii="Times New Roman" w:hAnsi="Times New Roman" w:cs="Times New Roman"/>
        </w:rPr>
        <w:t xml:space="preserve">с целью улучшения регулирования взаимоотношений, возникающих между ООО «Центр Стоматологической </w:t>
      </w:r>
      <w:r>
        <w:rPr>
          <w:rFonts w:ascii="Times New Roman" w:hAnsi="Times New Roman" w:cs="Times New Roman"/>
        </w:rPr>
        <w:t xml:space="preserve">Имплантологии</w:t>
      </w:r>
      <w:r>
        <w:rPr>
          <w:rFonts w:ascii="Times New Roman" w:hAnsi="Times New Roman" w:cs="Times New Roman"/>
        </w:rPr>
        <w:t xml:space="preserve">» (далее - Клиника) и Пациентом (Заказчиком) клиники при оказании стоматологической помощи на возмездной основе и </w:t>
      </w:r>
      <w:r>
        <w:rPr>
          <w:rFonts w:ascii="Times New Roman" w:hAnsi="Times New Roman" w:cs="Times New Roman"/>
        </w:rPr>
        <w:t xml:space="preserve">во исполнение требований:</w:t>
      </w:r>
      <w:r/>
    </w:p>
    <w:p>
      <w:pPr>
        <w:pStyle w:val="643"/>
        <w:numPr>
          <w:ilvl w:val="0"/>
          <w:numId w:val="11"/>
        </w:numPr>
        <w:ind w:left="1276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статей 470, 471, 477, 737 Гражданского кодекса Российской Федерации;</w:t>
      </w:r>
      <w:r/>
    </w:p>
    <w:p>
      <w:pPr>
        <w:pStyle w:val="643"/>
        <w:numPr>
          <w:ilvl w:val="0"/>
          <w:numId w:val="11"/>
        </w:numPr>
        <w:ind w:left="1276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статьи 5 Закона РФ № 2300/1-1 от 07.02.1992 года «О защите прав потребителей»; Настоящее Положение разработано в строгом соответствии с нормами:</w:t>
      </w:r>
      <w:r/>
    </w:p>
    <w:p>
      <w:pPr>
        <w:pStyle w:val="643"/>
        <w:numPr>
          <w:ilvl w:val="0"/>
          <w:numId w:val="11"/>
        </w:numPr>
        <w:ind w:left="1276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Правительства Российской Федерации от 11.05.2023 N 736 "Об утвержден</w:t>
      </w:r>
      <w:r>
        <w:rPr>
          <w:rFonts w:ascii="Times New Roman" w:hAnsi="Times New Roman" w:cs="Times New Roman"/>
        </w:rPr>
        <w:t xml:space="preserve">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1006);</w:t>
      </w:r>
      <w:r/>
    </w:p>
    <w:p>
      <w:pPr>
        <w:pStyle w:val="643"/>
        <w:numPr>
          <w:ilvl w:val="0"/>
          <w:numId w:val="11"/>
        </w:numPr>
        <w:ind w:left="1276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ФЗ № 323 от 21.11.2011 года «Об основах охраны здоровья граждан в РФ».</w:t>
      </w:r>
      <w:r/>
    </w:p>
    <w:p>
      <w:pPr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Стоматологические услуги – медицинские манипуляции, имеющие своей целью диагностику, лечение, профилактику стоматологических заболеваний, результат которых нематериален, потребляется в процессе их оказания.</w:t>
      </w:r>
      <w:r/>
    </w:p>
    <w:p>
      <w:pPr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Под стоматологическими услугами понимаются: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осмотр полости рта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лечение пульпы зуба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лечение кариеса и </w:t>
      </w:r>
      <w:r>
        <w:rPr>
          <w:rFonts w:ascii="Times New Roman" w:hAnsi="Times New Roman" w:cs="Times New Roman"/>
        </w:rPr>
        <w:t xml:space="preserve">некариозных</w:t>
      </w:r>
      <w:r>
        <w:rPr>
          <w:rFonts w:ascii="Times New Roman" w:hAnsi="Times New Roman" w:cs="Times New Roman"/>
        </w:rPr>
        <w:t xml:space="preserve"> поражений твёрдых тканей зуба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и пломбирование корневых каналов (эндодонтическое лечение);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гигиена полости рта;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операция удаления зуба;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лечение травмы зубов и мягких тканей челюстно-лицевой области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амбулаторные хирургические операции;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дентального имплантата;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лечение заболеваний пародонта (терапевтическое и хирургическое);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ортодонтическое</w:t>
      </w:r>
      <w:r>
        <w:rPr>
          <w:rFonts w:ascii="Times New Roman" w:hAnsi="Times New Roman" w:cs="Times New Roman"/>
        </w:rPr>
        <w:t xml:space="preserve"> лечение;</w:t>
      </w:r>
      <w:r/>
    </w:p>
    <w:p>
      <w:pPr>
        <w:pStyle w:val="643"/>
        <w:numPr>
          <w:ilvl w:val="0"/>
          <w:numId w:val="12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отбеливание зубов.</w:t>
      </w:r>
      <w:r/>
    </w:p>
    <w:p>
      <w:pPr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Стоматологические работы – медицински</w:t>
      </w:r>
      <w:r>
        <w:rPr>
          <w:rFonts w:ascii="Times New Roman" w:hAnsi="Times New Roman" w:cs="Times New Roman"/>
        </w:rPr>
        <w:t xml:space="preserve">е манипуляции, нацеленные на диагностику, лечение, профилактику стоматологических заболеваний, имеющие материальный (вещественный) результат, который способен сохранять свои физические (потребительские) свойства в течение установленного гарантийного срока.</w:t>
      </w:r>
      <w:r/>
    </w:p>
    <w:p>
      <w:pPr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Под стоматологическими работами понимаются:</w:t>
      </w:r>
      <w:r/>
    </w:p>
    <w:p>
      <w:pPr>
        <w:pStyle w:val="643"/>
        <w:numPr>
          <w:ilvl w:val="0"/>
          <w:numId w:val="13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диагностические манипуляции (проведение цифровых контрольно-диагностических фотографий, контрольно-диагностических моделей) рентгенологические исследования и прочее)</w:t>
      </w:r>
      <w:r/>
    </w:p>
    <w:p>
      <w:pPr>
        <w:pStyle w:val="643"/>
        <w:numPr>
          <w:ilvl w:val="0"/>
          <w:numId w:val="13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прямые композитные реставрации (пломбы);</w:t>
      </w:r>
      <w:r/>
    </w:p>
    <w:p>
      <w:pPr>
        <w:pStyle w:val="643"/>
        <w:numPr>
          <w:ilvl w:val="0"/>
          <w:numId w:val="13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непрямые реставрации (вкладки, </w:t>
      </w:r>
      <w:r>
        <w:rPr>
          <w:rFonts w:ascii="Times New Roman" w:hAnsi="Times New Roman" w:cs="Times New Roman"/>
        </w:rPr>
        <w:t xml:space="preserve">виниры</w:t>
      </w:r>
      <w:r>
        <w:rPr>
          <w:rFonts w:ascii="Times New Roman" w:hAnsi="Times New Roman" w:cs="Times New Roman"/>
        </w:rPr>
        <w:t xml:space="preserve">);</w:t>
      </w:r>
      <w:r/>
    </w:p>
    <w:p>
      <w:pPr>
        <w:pStyle w:val="643"/>
        <w:numPr>
          <w:ilvl w:val="0"/>
          <w:numId w:val="13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протезы съемные и несъемные, временные и постоянные;</w:t>
      </w:r>
      <w:r/>
    </w:p>
    <w:p>
      <w:pPr>
        <w:pStyle w:val="643"/>
        <w:numPr>
          <w:ilvl w:val="0"/>
          <w:numId w:val="13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съемные </w:t>
      </w:r>
      <w:r>
        <w:rPr>
          <w:rFonts w:ascii="Times New Roman" w:hAnsi="Times New Roman" w:cs="Times New Roman"/>
        </w:rPr>
        <w:t xml:space="preserve">ортодонтические</w:t>
      </w:r>
      <w:r>
        <w:rPr>
          <w:rFonts w:ascii="Times New Roman" w:hAnsi="Times New Roman" w:cs="Times New Roman"/>
        </w:rPr>
        <w:t xml:space="preserve"> аппараты;</w:t>
      </w:r>
      <w:r/>
    </w:p>
    <w:p>
      <w:pPr>
        <w:pStyle w:val="643"/>
        <w:numPr>
          <w:ilvl w:val="0"/>
          <w:numId w:val="13"/>
        </w:num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ретейнеры</w:t>
      </w:r>
      <w:r>
        <w:rPr>
          <w:rFonts w:ascii="Times New Roman" w:hAnsi="Times New Roman" w:cs="Times New Roman"/>
        </w:rPr>
        <w:t xml:space="preserve"> несъемные.</w:t>
      </w:r>
      <w:r/>
    </w:p>
    <w:p>
      <w:pPr>
        <w:ind w:left="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Здесь и далее по тексту термины «Заказчик» и «Пациент» взаимозаменяемы. Термин «Заказчик» использу</w:t>
      </w:r>
      <w:r>
        <w:rPr>
          <w:rFonts w:ascii="Times New Roman" w:hAnsi="Times New Roman" w:cs="Times New Roman"/>
        </w:rPr>
        <w:t xml:space="preserve">ется преимущественно для обозначения лица, обратившегося в медицинскую организацию, в юридических (договорных) отношениях с Исполнителем. Термин «Пациент» применяется в контексте получения медицинской услуги и отношений с медицинской организацией (врачом).</w:t>
      </w:r>
      <w:r/>
    </w:p>
    <w:p>
      <w:pPr>
        <w:pStyle w:val="643"/>
        <w:ind w:left="348" w:right="127" w:firstLine="0"/>
        <w:jc w:val="both"/>
        <w:spacing w:before="95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43"/>
        <w:ind w:left="348" w:right="127" w:firstLine="0"/>
        <w:jc w:val="center"/>
        <w:spacing w:before="95" w:line="254" w:lineRule="auto"/>
        <w:tabs>
          <w:tab w:val="left" w:pos="556" w:leader="none"/>
        </w:tabs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2.</w:t>
      </w:r>
      <w:r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Гарантийные</w:t>
      </w:r>
      <w:r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обязательства</w:t>
      </w:r>
      <w:r>
        <w:rPr>
          <w:rFonts w:ascii="Times New Roman" w:hAnsi="Times New Roman" w:cs="Times New Roman"/>
          <w:b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отношении</w:t>
      </w:r>
      <w:r>
        <w:rPr>
          <w:rFonts w:ascii="Times New Roman" w:hAnsi="Times New Roman" w:cs="Times New Roman"/>
          <w:b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стоматологических</w:t>
      </w:r>
      <w:r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работ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Гарантийное обязательство является двусторонним, вза</w:t>
      </w:r>
      <w:r>
        <w:rPr>
          <w:rFonts w:ascii="Times New Roman" w:hAnsi="Times New Roman" w:cs="Times New Roman"/>
        </w:rPr>
        <w:t xml:space="preserve">имным обязательством медицинской организации и пациента, в рамках которого клиника обязуется ознакомить пациента с порядком гарантийного лечения и установленными прогнозами лечения, а пациент обязуется соблюдать условия предоставления гарантийного лечения.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Гарантийный срок – это период, в течение которого в случае обнаружения недостатка в выполненной работе, </w:t>
      </w:r>
      <w:r>
        <w:rPr>
          <w:rFonts w:ascii="Times New Roman" w:hAnsi="Times New Roman" w:cs="Times New Roman"/>
        </w:rPr>
        <w:t xml:space="preserve">исполнитель обязан удовлетворить требования </w:t>
      </w:r>
      <w:r>
        <w:rPr>
          <w:rFonts w:ascii="Times New Roman" w:hAnsi="Times New Roman" w:cs="Times New Roman"/>
        </w:rPr>
        <w:t xml:space="preserve">Пациента (</w:t>
      </w:r>
      <w:r>
        <w:rPr>
          <w:rFonts w:ascii="Times New Roman" w:hAnsi="Times New Roman" w:cs="Times New Roman"/>
        </w:rPr>
        <w:t xml:space="preserve">заказчика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, а </w:t>
      </w:r>
      <w:r>
        <w:rPr>
          <w:rFonts w:ascii="Times New Roman" w:hAnsi="Times New Roman" w:cs="Times New Roman"/>
        </w:rPr>
        <w:t xml:space="preserve">Пациент (З</w:t>
      </w:r>
      <w:r>
        <w:rPr>
          <w:rFonts w:ascii="Times New Roman" w:hAnsi="Times New Roman" w:cs="Times New Roman"/>
        </w:rPr>
        <w:t xml:space="preserve">аказчик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вправе по своему выбору потребовать: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безвозмездного устранения недостатков выполненной работы;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соответствующего уменьшения цены выполненной работы;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безвозмездного изготовления другой стоматологической работы из аналогичного материала, отвечающего стандартам </w:t>
      </w:r>
      <w:r>
        <w:rPr>
          <w:rFonts w:ascii="Times New Roman" w:hAnsi="Times New Roman" w:cs="Times New Roman"/>
        </w:rPr>
        <w:t xml:space="preserve">качества.–</w:t>
      </w:r>
      <w:r>
        <w:rPr>
          <w:rFonts w:ascii="Times New Roman" w:hAnsi="Times New Roman" w:cs="Times New Roman"/>
        </w:rPr>
        <w:t xml:space="preserve"> возмещения понесенных им расходов по устранению недостатков выполненной работы своими силами или третьими лицами.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Гарантийный срок исчисляется со дня принятия результата работы </w:t>
      </w:r>
      <w:r>
        <w:rPr>
          <w:rFonts w:ascii="Times New Roman" w:hAnsi="Times New Roman" w:cs="Times New Roman"/>
        </w:rPr>
        <w:t xml:space="preserve">Пациентом (З</w:t>
      </w:r>
      <w:r>
        <w:rPr>
          <w:rFonts w:ascii="Times New Roman" w:hAnsi="Times New Roman" w:cs="Times New Roman"/>
        </w:rPr>
        <w:t xml:space="preserve">аказчиком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, о чем делается запись в акте приема-передачи с одновременной подписью врача и пациента.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Недостаток качества работы – это ее несоответствие тем целям, для которых результаты стоматологических работ обычно используются, а также требованиям стандартов.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Исполнитель не отвечает за недостатки в работе, на которую установлен гарантийный срок, если недостаток возник по причине несоблюдения </w:t>
      </w:r>
      <w:r>
        <w:rPr>
          <w:rFonts w:ascii="Times New Roman" w:hAnsi="Times New Roman" w:cs="Times New Roman"/>
        </w:rPr>
        <w:t xml:space="preserve">Пациентом </w:t>
      </w:r>
      <w:r>
        <w:rPr>
          <w:rFonts w:ascii="Times New Roman" w:hAnsi="Times New Roman" w:cs="Times New Roman"/>
        </w:rPr>
        <w:t xml:space="preserve">рекомендаций и назначений врача для сохранения достигнутого результата лечения, нарушения режима лечения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действий третьих лиц или непреодолимой силы</w:t>
      </w:r>
      <w:r>
        <w:rPr>
          <w:rFonts w:ascii="Times New Roman" w:hAnsi="Times New Roman" w:cs="Times New Roman"/>
        </w:rPr>
        <w:t xml:space="preserve"> (п</w:t>
      </w:r>
      <w:r>
        <w:rPr>
          <w:rFonts w:ascii="Times New Roman" w:hAnsi="Times New Roman" w:cs="Times New Roman"/>
        </w:rPr>
        <w:t xml:space="preserve">. 4 ст. 29 Закона РФ «О защите прав потребителей»)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Срок службы – период, в</w:t>
      </w:r>
      <w:r>
        <w:rPr>
          <w:rFonts w:ascii="Times New Roman" w:hAnsi="Times New Roman" w:cs="Times New Roman"/>
        </w:rPr>
        <w:t xml:space="preserve"> течение которого исполнитель обязуется обеспечивать потребителю возможность использования результата стоматологической работы по назначению и нести ответственность за существенные недостатки, на основании п.6 ст. 29 Закона РФ «О защите прав потребителей».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Срок службы результата работы определяется периодом времени, в течение которого результат работы пригоден к использованию и безопасен; исчисляется со дня принятия результата работы </w:t>
      </w:r>
      <w:r>
        <w:rPr>
          <w:rFonts w:ascii="Times New Roman" w:hAnsi="Times New Roman" w:cs="Times New Roman"/>
        </w:rPr>
        <w:t xml:space="preserve">Пациентом (</w:t>
      </w:r>
      <w:r>
        <w:rPr>
          <w:rFonts w:ascii="Times New Roman" w:hAnsi="Times New Roman" w:cs="Times New Roman"/>
        </w:rPr>
        <w:t xml:space="preserve">Заказчиком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, т. е. с момента окончания комплексной стоматологической помощи (комплексной санации полости рта), о чем делается запись в медицинской карте пациента.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Существенный недостаток – это недостаток, который дела</w:t>
      </w:r>
      <w:r>
        <w:rPr>
          <w:rFonts w:ascii="Times New Roman" w:hAnsi="Times New Roman" w:cs="Times New Roman"/>
        </w:rPr>
        <w:t xml:space="preserve">ет невозможным использование результата работы в соответствии с его целевым назначением, неустранимый недостаток (например: полный перелом протеза или выпадение пломбы) либо на устранение этого недостатка требуются значительные затраты времени или средств.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 xml:space="preserve">В случае выявления существенных недостатков в выполненной работе, </w:t>
      </w:r>
      <w:r>
        <w:rPr>
          <w:rFonts w:ascii="Times New Roman" w:hAnsi="Times New Roman" w:cs="Times New Roman"/>
        </w:rPr>
        <w:t xml:space="preserve">Пациент (</w:t>
      </w:r>
      <w:r>
        <w:rPr>
          <w:rFonts w:ascii="Times New Roman" w:hAnsi="Times New Roman" w:cs="Times New Roman"/>
        </w:rPr>
        <w:t xml:space="preserve">Заказчик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вправе предъявить требование о безвозмездном устранении недостатков. При этом обязанность доказывания вины Исполнителя услуги лежит на пациенте.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Данное требование может быть предъявлено, если такие недостатки обнаружены по истечении двух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лет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 дня принятия результата работы (услуги), но в пределах установленного на результат работы (услуги) срока службы или в течение десяти лет со дня принятия результата работы (услуги) потребителем, если срок службы не установлен. 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 xml:space="preserve">Если данное требование не удовлетворено в установленный срок, или обнаруженный недостаток является неустранимым, </w:t>
      </w:r>
      <w:r>
        <w:rPr>
          <w:rFonts w:ascii="Times New Roman" w:hAnsi="Times New Roman" w:cs="Times New Roman"/>
        </w:rPr>
        <w:t xml:space="preserve">Пациент (</w:t>
      </w:r>
      <w:r>
        <w:rPr>
          <w:rFonts w:ascii="Times New Roman" w:hAnsi="Times New Roman" w:cs="Times New Roman"/>
        </w:rPr>
        <w:t xml:space="preserve">Заказчик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по своему выбору вправе потребовать: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соответствующего уменьшения цены за выполненную работу;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возмещения понесенных им расходов по устранению недостатков выполненной работы своими силами или третьими лицами;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отказа от исполнения договора</w:t>
      </w:r>
      <w:r>
        <w:rPr>
          <w:rFonts w:ascii="Times New Roman" w:hAnsi="Times New Roman" w:cs="Times New Roman"/>
        </w:rPr>
        <w:t xml:space="preserve"> о выполнении работы и возмещения убытков.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 наличия недостатка должен быть зафиксирован на приеме у врача</w:t>
      </w:r>
      <w:r>
        <w:rPr>
          <w:rFonts w:ascii="Times New Roman" w:hAnsi="Times New Roman" w:cs="Times New Roman"/>
        </w:rPr>
        <w:t xml:space="preserve"> в медицинской карте, </w:t>
      </w:r>
      <w:r>
        <w:rPr>
          <w:rFonts w:ascii="Times New Roman" w:hAnsi="Times New Roman" w:cs="Times New Roman"/>
        </w:rPr>
        <w:t xml:space="preserve">оформленной согласно</w:t>
      </w:r>
      <w:r>
        <w:rPr>
          <w:rFonts w:ascii="Times New Roman" w:hAnsi="Times New Roman" w:cs="Times New Roman"/>
        </w:rPr>
        <w:t xml:space="preserve"> условиям договора.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Срок ответа на письменную претензию пациента – 10 рабочих дней.</w:t>
      </w:r>
      <w:r>
        <w:rPr>
          <w:rFonts w:ascii="Times New Roman" w:hAnsi="Times New Roman" w:cs="Times New Roman"/>
        </w:rPr>
        <w:t xml:space="preserve"> Сроки удовлетворения требований пациента об устранении недостатка в выявленной работе определяются и согласуются сторонами, исходя из: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необходимости определения того, является ли случай гарантийным;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определения того, каким образом будет устраняться недостаток (посредством восстановления (ремонта) разрушенных, поврежденных частей зуботехнических конструкций либо изготовления их заново);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возможностей пациента своевременного посещения назначенных приемов, наличия свободного и достаточного времени приема у лечащего врача.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случае устранения недостатков по гарантии решение относительно способа его устранения (ремонт/коррекция существующей либо изготовление новой конструкции, пломбы, вкладки) принимает врач, исходя из медицинских показаний, а также того, какой способ будет на</w:t>
      </w:r>
      <w:r>
        <w:rPr>
          <w:rFonts w:ascii="Times New Roman" w:hAnsi="Times New Roman" w:cs="Times New Roman"/>
        </w:rPr>
        <w:t xml:space="preserve">именее травматичен и причинит пациенту наименьший дискомфорт. При устранении недостатков путем коррекции/ремонта, гарантийное лечение производится на приеме врача в день записи на прием, при этом первоначально установленный гарантийный срок не прерывается.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 xml:space="preserve">В случае, если ортопедическая и </w:t>
      </w:r>
      <w:r>
        <w:rPr>
          <w:rFonts w:ascii="Times New Roman" w:hAnsi="Times New Roman" w:cs="Times New Roman"/>
        </w:rPr>
        <w:t xml:space="preserve">ортодонтическая</w:t>
      </w:r>
      <w:r>
        <w:rPr>
          <w:rFonts w:ascii="Times New Roman" w:hAnsi="Times New Roman" w:cs="Times New Roman"/>
        </w:rPr>
        <w:t xml:space="preserve"> конструкция будет подлежать ремонту, гарантийный срок продлевается на тот период, в рамках которого пациент конструкцией не пользовался.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 xml:space="preserve">При устранении недостатков посредством изготовления новой конструкции, первоначально установленный гарантийный срок и срок службы изделия начинает исчисляться заново.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 xml:space="preserve">Клиника выполняет гарантийные обязательства по устранению недостатков в выполненных стоматологических работах при условии: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прохождения пациентом профилактических осмотров у Исполнителя в соответствии с индивидуальным графиком профилактических осмотров;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соблюдения пациентом гигиены полости рта в домашних условиях и проведением профессиональной гигиены полости рта у Исполнителя в соответствии с рекомендациями врача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 xml:space="preserve">Клиника не принимает на себя гарантийные обязательства и не проводит бесплатного гарантийного лечения, если недостаток либо существенный недостаток имел место в результате (</w:t>
      </w:r>
      <w:r>
        <w:rPr>
          <w:rFonts w:ascii="Times New Roman" w:hAnsi="Times New Roman" w:cs="Times New Roman"/>
        </w:rPr>
        <w:t xml:space="preserve">негарантийные</w:t>
      </w:r>
      <w:r>
        <w:rPr>
          <w:rFonts w:ascii="Times New Roman" w:hAnsi="Times New Roman" w:cs="Times New Roman"/>
        </w:rPr>
        <w:t xml:space="preserve"> случаи):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травмы (спортивной, уличной, бытовой, производственной);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попытки самостоятельного ремонта или коррекции;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дорожно-транспортного происшествия (автомобильная авария,);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наличия у пациента заболевания «бруксизм»;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наличия у пациента тяжелой соматической патологии (сахарный диабет и т.д.);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многоплодная беременность;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у пациента быстропрогрессирующего генерализованного пародонтита;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несоблюдение рекомендаций врача;</w:t>
      </w:r>
      <w:r/>
    </w:p>
    <w:p>
      <w:pPr>
        <w:pStyle w:val="64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чрезвычайные ситуации природного и техногенного характера.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 xml:space="preserve">Гарантийное лечение не производится также в случаях:</w:t>
      </w:r>
      <w:r/>
    </w:p>
    <w:p>
      <w:pPr>
        <w:pStyle w:val="64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эндодонтического </w:t>
      </w:r>
      <w:r>
        <w:rPr>
          <w:rFonts w:ascii="Times New Roman" w:hAnsi="Times New Roman" w:cs="Times New Roman"/>
        </w:rPr>
        <w:t xml:space="preserve">перелечивания</w:t>
      </w:r>
      <w:r>
        <w:rPr>
          <w:rFonts w:ascii="Times New Roman" w:hAnsi="Times New Roman" w:cs="Times New Roman"/>
        </w:rPr>
        <w:t xml:space="preserve"> зубов, первоначально пролеченных в других клиниках;</w:t>
      </w:r>
      <w:r/>
    </w:p>
    <w:p>
      <w:pPr>
        <w:pStyle w:val="64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осложнений после эндодонтического лечения временных зубов, возникших через год и позже;</w:t>
      </w:r>
      <w:r/>
    </w:p>
    <w:p>
      <w:pPr>
        <w:pStyle w:val="64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осложнений после эндодонтического лечения постоянных зубов с незавершенным формированием корней;</w:t>
      </w:r>
      <w:r/>
    </w:p>
    <w:p>
      <w:pPr>
        <w:pStyle w:val="64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выпадения коронок с фронтальных временных зубов в случае значительного разрушения зубов кариозным процессом;</w:t>
      </w:r>
      <w:r/>
    </w:p>
    <w:p>
      <w:pPr>
        <w:pStyle w:val="64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любого переделывания, доделывания, коррекции протезов и иных ортопедических конструкций, изготовленных и установленных в других клиниках.</w:t>
      </w:r>
      <w:r/>
    </w:p>
    <w:p>
      <w:pPr>
        <w:pStyle w:val="643"/>
        <w:numPr>
          <w:ilvl w:val="0"/>
          <w:numId w:val="10"/>
        </w:numPr>
        <w:ind w:left="1281" w:hanging="357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острых травм в челюстно-лицевой области (полный или неполный вывих, перелом зуба, перелом </w:t>
      </w:r>
      <w:r>
        <w:rPr>
          <w:rFonts w:ascii="Times New Roman" w:hAnsi="Times New Roman" w:cs="Times New Roman"/>
        </w:rPr>
        <w:t xml:space="preserve">альвеолярного отростка, перелом корня) в связи с невозможностью про</w:t>
      </w:r>
      <w:r>
        <w:rPr>
          <w:rFonts w:ascii="Times New Roman" w:hAnsi="Times New Roman" w:cs="Times New Roman"/>
        </w:rPr>
        <w:t xml:space="preserve">гнозирования исхода заболевания;</w:t>
      </w:r>
      <w:r/>
    </w:p>
    <w:p>
      <w:pPr>
        <w:ind w:left="1281" w:hanging="357"/>
        <w:spacing w:line="300" w:lineRule="atLeast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lang w:eastAsia="ru-RU"/>
        </w:rPr>
        <w:tab/>
        <w:t xml:space="preserve">влияние явных и вероятных общих заболеваний потребителя (пациента) на течение стоматологических проблем (обменные нарушения и системные заболевания);</w:t>
      </w:r>
      <w:r/>
    </w:p>
    <w:p>
      <w:pPr>
        <w:ind w:left="1281" w:hanging="357"/>
        <w:spacing w:line="300" w:lineRule="atLeast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lang w:eastAsia="ru-RU"/>
        </w:rPr>
        <w:tab/>
        <w:t xml:space="preserve">снижение иммунологической реактивности организма Пациента, в том числе проявляющееся частыми инфекционными заболеваниями;</w:t>
      </w:r>
      <w:r/>
    </w:p>
    <w:p>
      <w:pPr>
        <w:ind w:left="1281" w:hanging="357"/>
        <w:spacing w:line="300" w:lineRule="atLeast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lang w:eastAsia="ru-RU"/>
        </w:rPr>
        <w:tab/>
        <w:t xml:space="preserve">прием гормональных, </w:t>
      </w:r>
      <w:r>
        <w:rPr>
          <w:rFonts w:ascii="Times New Roman" w:hAnsi="Times New Roman" w:cs="Times New Roman" w:eastAsia="Times New Roman"/>
          <w:lang w:eastAsia="ru-RU"/>
        </w:rPr>
        <w:t xml:space="preserve">психотропных ,</w:t>
      </w:r>
      <w:r>
        <w:rPr>
          <w:rFonts w:ascii="Times New Roman" w:hAnsi="Times New Roman" w:cs="Times New Roman" w:eastAsia="Times New Roman"/>
          <w:lang w:eastAsia="ru-RU"/>
        </w:rPr>
        <w:t xml:space="preserve"> наркотических, кислотосодержащих препаратов;</w:t>
      </w:r>
      <w:r/>
    </w:p>
    <w:p>
      <w:pPr>
        <w:ind w:left="1281" w:hanging="357"/>
        <w:spacing w:line="300" w:lineRule="atLeast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lang w:eastAsia="ru-RU"/>
        </w:rPr>
        <w:tab/>
        <w:t xml:space="preserve">невыполнение рекомендаций врача, направленных на укрепление эмали зубов, </w:t>
      </w:r>
      <w:r>
        <w:rPr>
          <w:rFonts w:ascii="Times New Roman" w:hAnsi="Times New Roman" w:cs="Times New Roman" w:eastAsia="Times New Roman"/>
          <w:lang w:eastAsia="ru-RU"/>
        </w:rPr>
        <w:t xml:space="preserve">нормализацтю</w:t>
      </w:r>
      <w:r>
        <w:rPr>
          <w:rFonts w:ascii="Times New Roman" w:hAnsi="Times New Roman" w:cs="Times New Roman" w:eastAsia="Times New Roman"/>
          <w:lang w:eastAsia="ru-RU"/>
        </w:rPr>
        <w:t xml:space="preserve"> состояния десен;</w:t>
      </w:r>
      <w:r/>
    </w:p>
    <w:p>
      <w:pPr>
        <w:ind w:left="1281" w:hanging="357"/>
        <w:spacing w:line="300" w:lineRule="atLeast"/>
        <w:shd w:val="clear" w:color="auto" w:fill="ffffff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lang w:eastAsia="ru-RU"/>
        </w:rPr>
        <w:tab/>
        <w:t xml:space="preserve">самолечение стоматологических заболеваний (применение процедур и прием медикаментов, не назначенных врачом)</w:t>
      </w:r>
      <w:r/>
    </w:p>
    <w:p>
      <w:pPr>
        <w:pStyle w:val="64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субъективные ожидания Пациента при оказании услуг косметического характера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 xml:space="preserve">Гарантийные сроки и сроки службы не устанавливаются на виды лечения Пациенту,</w:t>
      </w:r>
      <w:r>
        <w:rPr>
          <w:rFonts w:ascii="Times New Roman" w:hAnsi="Times New Roman" w:cs="Times New Roman"/>
        </w:rPr>
        <w:t xml:space="preserve"> при оказании которых конкретные материальные изделия </w:t>
      </w:r>
      <w:r>
        <w:rPr>
          <w:rFonts w:ascii="Times New Roman" w:hAnsi="Times New Roman" w:cs="Times New Roman"/>
        </w:rPr>
        <w:t xml:space="preserve">не передаются </w:t>
      </w:r>
      <w:r>
        <w:rPr>
          <w:rFonts w:ascii="Times New Roman" w:hAnsi="Times New Roman" w:cs="Times New Roman"/>
        </w:rPr>
        <w:t xml:space="preserve">для использования по назначению:</w:t>
      </w:r>
      <w:r/>
    </w:p>
    <w:p>
      <w:pPr>
        <w:pStyle w:val="64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при обработке и пломбировании корневых каналов (повторное эндодонтическое лечение);</w:t>
      </w:r>
      <w:r/>
    </w:p>
    <w:p>
      <w:pPr>
        <w:pStyle w:val="64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профессиональной чистке зубов;</w:t>
      </w:r>
      <w:r/>
    </w:p>
    <w:p>
      <w:pPr>
        <w:pStyle w:val="64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наложении временной повязки (временной пломбы);</w:t>
      </w:r>
      <w:r/>
    </w:p>
    <w:p>
      <w:pPr>
        <w:pStyle w:val="64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хирургических операциях за исключением операции по </w:t>
      </w:r>
      <w:r>
        <w:rPr>
          <w:rFonts w:ascii="Times New Roman" w:hAnsi="Times New Roman" w:cs="Times New Roman"/>
        </w:rPr>
        <w:t xml:space="preserve">дпентальной</w:t>
      </w:r>
      <w:r>
        <w:rPr>
          <w:rFonts w:ascii="Times New Roman" w:hAnsi="Times New Roman" w:cs="Times New Roman"/>
        </w:rPr>
        <w:t xml:space="preserve"> имплантации (резекция верхушки корня, удаление зуба, операции по наращиванию кости, операции по пластике десны, удаление новообразований, пластика уздечек);</w:t>
      </w:r>
      <w:r/>
    </w:p>
    <w:p>
      <w:pPr>
        <w:pStyle w:val="64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лечении заболеваний пародонта;</w:t>
      </w:r>
      <w:r/>
    </w:p>
    <w:p>
      <w:pPr>
        <w:pStyle w:val="64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лечении пульпита молочных зубов.</w:t>
      </w:r>
      <w:r/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Ввиду отсутствия прямой связи между качеством лечебных мероприятий и их возможными исходами, которые с необходимой достоверностью невозможно спрогнозировать, гарантийные сроки</w:t>
      </w:r>
      <w:r>
        <w:rPr>
          <w:rFonts w:ascii="Times New Roman" w:hAnsi="Times New Roman" w:cs="Times New Roman"/>
        </w:rPr>
        <w:t xml:space="preserve"> и сроки службы не устанавливаются  </w:t>
      </w:r>
      <w:r>
        <w:rPr>
          <w:rFonts w:ascii="Times New Roman" w:hAnsi="Times New Roman" w:cs="Times New Roman"/>
        </w:rPr>
        <w:t xml:space="preserve">на конечный результат  при </w:t>
      </w:r>
      <w:r>
        <w:rPr>
          <w:rFonts w:ascii="Times New Roman" w:hAnsi="Times New Roman" w:cs="Times New Roman"/>
        </w:rPr>
        <w:t xml:space="preserve">ортодонтическ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лечени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 с использованием брекет-систем,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элайнеров</w:t>
      </w:r>
      <w:r>
        <w:rPr>
          <w:rFonts w:ascii="Times New Roman" w:hAnsi="Times New Roman" w:cs="Times New Roman"/>
        </w:rPr>
        <w:t xml:space="preserve">, съемных </w:t>
      </w:r>
      <w:r>
        <w:rPr>
          <w:rFonts w:ascii="Times New Roman" w:hAnsi="Times New Roman" w:cs="Times New Roman"/>
        </w:rPr>
        <w:t xml:space="preserve">ортодонтических</w:t>
      </w:r>
      <w:r>
        <w:rPr>
          <w:rFonts w:ascii="Times New Roman" w:hAnsi="Times New Roman" w:cs="Times New Roman"/>
        </w:rPr>
        <w:t xml:space="preserve"> аппаратов.</w:t>
      </w:r>
      <w:r>
        <w:rPr>
          <w:rFonts w:ascii="Times New Roman" w:hAnsi="Times New Roman" w:cs="Times New Roman"/>
        </w:rPr>
        <w:t xml:space="preserve"> Гарантийные сроки и сроки службы не устанавливаются на результат лечения при невозможности отследить качество выполнения рекомендаций и прерывании </w:t>
      </w:r>
      <w:r>
        <w:rPr>
          <w:rFonts w:ascii="Times New Roman" w:hAnsi="Times New Roman" w:cs="Times New Roman"/>
        </w:rPr>
        <w:t xml:space="preserve">ортодонтического</w:t>
      </w:r>
      <w:r>
        <w:rPr>
          <w:rFonts w:ascii="Times New Roman" w:hAnsi="Times New Roman" w:cs="Times New Roman"/>
        </w:rPr>
        <w:t xml:space="preserve"> лечения.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На большинство стоматологических работ в клинике установлены средние гарантийные сроки и сроки</w:t>
      </w:r>
      <w:r>
        <w:rPr>
          <w:rFonts w:ascii="Times New Roman" w:hAnsi="Times New Roman" w:cs="Times New Roman"/>
        </w:rPr>
        <w:t xml:space="preserve"> службы.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Конкретные гарантийные сроки и сроки службы </w:t>
      </w:r>
      <w:r>
        <w:rPr>
          <w:rFonts w:ascii="Times New Roman" w:hAnsi="Times New Roman" w:cs="Times New Roman"/>
        </w:rPr>
        <w:t xml:space="preserve">на выполненные стоматологические работы для каждого пациента устанавливаются лечащим врачом в зависимости от клинической ситуации в полости рта, наличия или отсутствия сопутствующих заболеваний, которые напрямую или косвенно приводят к изменению в зубах и </w:t>
      </w:r>
      <w:r>
        <w:rPr>
          <w:rFonts w:ascii="Times New Roman" w:hAnsi="Times New Roman" w:cs="Times New Roman"/>
        </w:rPr>
        <w:t xml:space="preserve">окружающих их тканях, полноты выполнения пациентом плана лечения, рекомендованного врачом, соблюдения пациентом условий предоставления гарантии.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Информация о конкретных сроках гарантии и сроках службы указываются в Акте выполненных услуг (работ) подписываемого сторонами после оказания стоматологических услуг.</w:t>
      </w:r>
      <w:r/>
    </w:p>
    <w:p>
      <w:pPr>
        <w:ind w:left="142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 учетом указанных обстоятельств, в каждом конкретном случае гарантийные сроки и сроки службы могут быть уменьшены или увеличены, по сравнению со средними, что фиксируется врачом в истории болезни пациента.</w:t>
      </w:r>
      <w:r/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клинике устанавливаются следующие гарантийные сроки и сроки службы:</w:t>
      </w:r>
      <w:r/>
    </w:p>
    <w:p>
      <w:pPr>
        <w:pStyle w:val="641"/>
        <w:ind w:left="0"/>
        <w:spacing w:before="7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  <w:lang w:val="en-US"/>
        </w:rPr>
      </w:pPr>
      <w:r>
        <w:rPr>
          <w:rFonts w:ascii="Times New Roman" w:hAnsi="Times New Roman" w:cs="Times New Roman"/>
          <w:b/>
          <w:sz w:val="16"/>
          <w:lang w:val="en-US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</w:r>
      <w:r/>
    </w:p>
    <w:p>
      <w:pPr>
        <w:spacing w:line="165" w:lineRule="exac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  ТАБЛИЦА СРОКОВ</w:t>
      </w:r>
      <w:r/>
    </w:p>
    <w:p>
      <w:pPr>
        <w:spacing w:line="165" w:lineRule="exac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</w:r>
      <w:r/>
    </w:p>
    <w:p>
      <w:pPr>
        <w:spacing w:line="165" w:lineRule="exac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Согласовать ГЛ врачи</w:t>
      </w:r>
      <w:r/>
    </w:p>
    <w:p>
      <w:pPr>
        <w:spacing w:line="165" w:lineRule="exac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</w:r>
      <w:r/>
    </w:p>
    <w:p>
      <w:pPr>
        <w:spacing w:before="96"/>
        <w:tabs>
          <w:tab w:val="left" w:pos="711" w:leader="none"/>
        </w:tabs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</w:r>
      <w:r/>
    </w:p>
    <w:tbl>
      <w:tblPr>
        <w:tblStyle w:val="646"/>
        <w:tblpPr w:horzAnchor="margin" w:tblpXSpec="left" w:vertAnchor="text" w:tblpY="242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работы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гарантии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службы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Пломба из композита, композитная реставрация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года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Пломба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композита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временная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дней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нет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Пломба из композита на зубе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после  первичного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эндодонтического лечения при условии разрушения зуба менее 50%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месяцев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Пломба из композита на зубе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после  первичного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эндодонтического лечения при условии разрушения зуба более 50% (при отказе от покрытия коронкой)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месяца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/>
            <w:bookmarkStart w:id="0" w:name="_Hlk146831968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Композитные пломбы на клиновидные дефекты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месяц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От 1 месяца до 2 лет в зависимости от клинической ситуации в полости рта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Эндодонтическое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перелечивание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 постоянное протезирование зубов, каналы которых ранее уже были перелечены в сторонней клинике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нет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нет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Протезирование зуба керамическими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накладками,  культевыми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вкладками, если ранее  зуб  был пролечен  в сторонней клинике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нет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нет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Протезирование витальных зубов керамическими накладками,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винирами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От 5 до 10 лет, в зависимости от клинической картины в полости рта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Восстановление под ортопедическую конструкцию культевой вкладкой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Все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виды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съемных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протезов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месяцев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года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Несъемные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постоянные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ортопедические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конструкции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Дентальные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имплантаты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лет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От 10 лет и более, в зависимости от клинической картины в полости рта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Съемные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ортодонтические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аппраты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месяцев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Ретейнеры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несьемные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месяцев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года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Защитная каппа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изготовленная у врача ортодонта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</w:t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года</w:t>
            </w:r>
            <w:r/>
          </w:p>
        </w:tc>
      </w:tr>
      <w:tr>
        <w:trPr/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r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spacing w:before="96"/>
              <w:tabs>
                <w:tab w:val="left" w:pos="711" w:leader="none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r>
            <w:bookmarkEnd w:id="0"/>
            <w:r/>
          </w:p>
        </w:tc>
      </w:tr>
    </w:tbl>
    <w:p>
      <w:pPr>
        <w:pStyle w:val="641"/>
        <w:ind w:left="0"/>
        <w:spacing w:before="1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</w:r>
      <w:r/>
    </w:p>
    <w:p>
      <w:pPr>
        <w:spacing w:line="165" w:lineRule="exact"/>
        <w:rPr>
          <w:rFonts w:ascii="Times New Roman" w:hAnsi="Times New Roman" w:cs="Times New Roman"/>
          <w:sz w:val="16"/>
        </w:rPr>
        <w:sectPr>
          <w:footnotePr/>
          <w:endnotePr/>
          <w:type w:val="nextPage"/>
          <w:pgSz w:w="12250" w:h="17180" w:orient="portrait"/>
          <w:pgMar w:top="620" w:right="440" w:bottom="280" w:left="46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16"/>
        </w:rPr>
      </w:r>
      <w:r/>
    </w:p>
    <w:p>
      <w:pPr>
        <w:pStyle w:val="641"/>
        <w:ind w:left="0"/>
        <w:spacing w:before="1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</w:r>
      <w:r/>
    </w:p>
    <w:p>
      <w:pPr>
        <w:pStyle w:val="641"/>
        <w:ind w:left="161" w:right="296"/>
        <w:spacing w:before="118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*Сроки службы распространяются только на комплексную стоматологическую помощь (комплексную санацию</w:t>
      </w:r>
      <w:r>
        <w:rPr>
          <w:rFonts w:ascii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полости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рта)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устанавливаются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в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индивидуальном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порядке.</w:t>
      </w:r>
      <w:r/>
    </w:p>
    <w:p>
      <w:pPr>
        <w:pStyle w:val="641"/>
        <w:ind w:left="161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**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изготовлении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защитной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каппы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у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врача-ортодонта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гарантии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–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2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года.</w:t>
      </w:r>
      <w:r/>
    </w:p>
    <w:p>
      <w:pPr>
        <w:pStyle w:val="643"/>
        <w:numPr>
          <w:ilvl w:val="0"/>
          <w:numId w:val="7"/>
        </w:numPr>
        <w:ind w:left="709" w:hanging="301"/>
        <w:spacing w:before="0"/>
        <w:tabs>
          <w:tab w:val="left" w:pos="71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Особенности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определения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конкретных</w:t>
      </w:r>
      <w:r>
        <w:rPr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сроков:</w:t>
      </w:r>
      <w:r/>
    </w:p>
    <w:p>
      <w:pPr>
        <w:pStyle w:val="641"/>
        <w:ind w:left="161" w:firstLine="247"/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КПУ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–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стоматологический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индекс,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определяющий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состояние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полости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рта,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а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именно: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количество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удаленных</w:t>
      </w:r>
      <w:r>
        <w:rPr>
          <w:rFonts w:ascii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зубов,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вылеченных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зубов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зубов,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требующих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лечения.</w:t>
      </w:r>
      <w:r/>
    </w:p>
    <w:p>
      <w:pPr>
        <w:pStyle w:val="634"/>
        <w:ind w:left="881"/>
        <w:spacing w:line="25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Для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терапевтических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работ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18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лет:</w:t>
      </w:r>
      <w:r/>
    </w:p>
    <w:p>
      <w:pPr>
        <w:ind w:left="881" w:right="6089"/>
        <w:spacing w:before="14" w:line="252" w:lineRule="auto"/>
        <w:rPr>
          <w:rFonts w:ascii="Times New Roman" w:hAnsi="Times New Roman" w:cs="Times New Roman"/>
          <w:sz w:val="13"/>
        </w:rPr>
        <w:sectPr>
          <w:footnotePr/>
          <w:endnotePr/>
          <w:type w:val="nextPage"/>
          <w:pgSz w:w="12250" w:h="17180" w:orient="portrait"/>
          <w:pgMar w:top="580" w:right="440" w:bottom="280" w:left="46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231F20"/>
        </w:rPr>
        <w:t xml:space="preserve">При КПУ 13-18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 снижаются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 30%;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КПУ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более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18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50%</w:t>
      </w:r>
      <w:r>
        <w:rPr>
          <w:rFonts w:ascii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 xml:space="preserve">Для</w:t>
      </w:r>
      <w:r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 xml:space="preserve">терапевтических</w:t>
      </w:r>
      <w:r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 xml:space="preserve">работ</w:t>
      </w:r>
      <w:r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 xml:space="preserve">до</w:t>
      </w:r>
      <w:r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 xml:space="preserve">18</w:t>
      </w:r>
      <w:r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 xml:space="preserve">лет:</w:t>
      </w:r>
      <w:r/>
    </w:p>
    <w:p>
      <w:pPr>
        <w:pStyle w:val="641"/>
        <w:ind w:left="881"/>
        <w:spacing w:before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92075</wp:posOffset>
                </wp:positionV>
                <wp:extent cx="3119120" cy="0"/>
                <wp:effectExtent l="0" t="0" r="0" b="0"/>
                <wp:wrapNone/>
                <wp:docPr id="1" name="Line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9120" cy="0"/>
                        </a:xfrm>
                        <a:prstGeom prst="line">
                          <a:avLst/>
                        </a:prstGeom>
                        <a:noFill/>
                        <a:ln w="255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251659264;o:allowoverlap:true;o:allowincell:true;mso-position-horizontal-relative:page;margin-left:65.9pt;mso-position-horizontal:absolute;mso-position-vertical-relative:text;margin-top:7.2pt;mso-position-vertical:absolute;width:245.6pt;height:0.0pt;" coordsize="100000,100000" path="" filled="f" strokecolor="#231F20" strokeweight="0.2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</w:rPr>
        <w:t xml:space="preserve">3-6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лет</w:t>
      </w:r>
      <w:r/>
    </w:p>
    <w:p>
      <w:pPr>
        <w:pStyle w:val="641"/>
        <w:ind w:left="0"/>
        <w:spacing w:before="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pStyle w:val="641"/>
        <w:ind w:left="881"/>
        <w:spacing w:before="0" w:line="24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19050</wp:posOffset>
                </wp:positionV>
                <wp:extent cx="3119120" cy="0"/>
                <wp:effectExtent l="0" t="0" r="0" b="0"/>
                <wp:wrapNone/>
                <wp:docPr id="2" name="Lin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19120" cy="0"/>
                        </a:xfrm>
                        <a:prstGeom prst="line">
                          <a:avLst/>
                        </a:prstGeom>
                        <a:noFill/>
                        <a:ln w="255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-251660288;o:allowoverlap:true;o:allowincell:true;mso-position-horizontal-relative:page;margin-left:65.9pt;mso-position-horizontal:absolute;mso-position-vertical-relative:text;margin-top:1.5pt;mso-position-vertical:absolute;width:245.6pt;height:0.0pt;" coordsize="100000,100000" path="" filled="f" strokecolor="#231F20" strokeweight="0.2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color w:val="231F20"/>
        </w:rPr>
        <w:t xml:space="preserve">7-10лет</w:t>
      </w:r>
      <w:r/>
    </w:p>
    <w:p>
      <w:pPr>
        <w:pStyle w:val="641"/>
        <w:ind w:left="264" w:right="5309"/>
        <w:spacing w:before="114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КПУ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3-6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30%</w:t>
      </w:r>
      <w:r>
        <w:rPr>
          <w:rFonts w:ascii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КПУ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&lt;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6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50%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При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КПУ</w:t>
      </w:r>
      <w:r>
        <w:rPr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6-8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сроки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на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30%</w:t>
      </w:r>
      <w:r/>
    </w:p>
    <w:p>
      <w:pPr>
        <w:spacing w:line="254" w:lineRule="auto"/>
        <w:rPr>
          <w:rFonts w:ascii="Times New Roman" w:hAnsi="Times New Roman" w:cs="Times New Roman"/>
        </w:rPr>
        <w:sectPr>
          <w:footnotePr/>
          <w:endnotePr/>
          <w:type w:val="continuous"/>
          <w:pgSz w:w="12250" w:h="17180" w:orient="portrait"/>
          <w:pgMar w:top="620" w:right="440" w:bottom="280" w:left="460" w:header="720" w:footer="720" w:gutter="0"/>
          <w:cols w:num="2" w:sep="0" w:space="720" w:equalWidth="0">
            <w:col w:w="1599" w:space="40"/>
            <w:col w:w="9711" w:space="0"/>
          </w:cols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pStyle w:val="641"/>
        <w:ind w:left="857"/>
        <w:spacing w:before="4" w:line="246" w:lineRule="exact"/>
        <w:tabs>
          <w:tab w:val="left" w:pos="190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ab/>
      </w:r>
      <w:r>
        <w:rPr>
          <w:rFonts w:ascii="Times New Roman" w:hAnsi="Times New Roman" w:cs="Times New Roman"/>
          <w:color w:val="231F20"/>
          <w:u w:val="single"/>
        </w:rPr>
        <w:t xml:space="preserve">При</w:t>
      </w:r>
      <w:r>
        <w:rPr>
          <w:rFonts w:ascii="Times New Roman" w:hAnsi="Times New Roman" w:cs="Times New Roman"/>
          <w:color w:val="231F20"/>
          <w:spacing w:val="7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КПУ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&lt;</w:t>
      </w:r>
      <w:r>
        <w:rPr>
          <w:rFonts w:ascii="Times New Roman" w:hAnsi="Times New Roman" w:cs="Times New Roman"/>
          <w:color w:val="231F20"/>
          <w:spacing w:val="7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8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сроки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7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на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50%</w:t>
      </w:r>
      <w:r>
        <w:rPr>
          <w:rFonts w:ascii="Times New Roman" w:hAnsi="Times New Roman" w:cs="Times New Roman"/>
          <w:color w:val="231F20"/>
          <w:spacing w:val="17"/>
          <w:u w:val="single"/>
        </w:rPr>
        <w:t xml:space="preserve"> </w:t>
      </w:r>
      <w:r/>
    </w:p>
    <w:p>
      <w:pPr>
        <w:pStyle w:val="641"/>
        <w:ind w:left="881"/>
        <w:spacing w:before="19" w:line="24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11-14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лет</w:t>
      </w:r>
      <w:r>
        <w:rPr>
          <w:rFonts w:ascii="Times New Roman" w:hAnsi="Times New Roman" w:cs="Times New Roman"/>
          <w:color w:val="231F20"/>
          <w:spacing w:val="8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КПУ</w:t>
      </w:r>
      <w:r>
        <w:rPr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5-8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30%</w:t>
      </w:r>
      <w:r/>
    </w:p>
    <w:p>
      <w:pPr>
        <w:pStyle w:val="641"/>
        <w:ind w:left="857"/>
        <w:spacing w:before="18" w:line="246" w:lineRule="exact"/>
        <w:tabs>
          <w:tab w:val="left" w:pos="1902" w:leader="none"/>
        </w:tabs>
        <w:rPr>
          <w:rFonts w:ascii="Times New Roman" w:hAnsi="Times New Roman" w:cs="Times New Roman"/>
        </w:rPr>
        <w:sectPr>
          <w:footnotePr/>
          <w:endnotePr/>
          <w:type w:val="continuous"/>
          <w:pgSz w:w="12250" w:h="17180" w:orient="portrait"/>
          <w:pgMar w:top="620" w:right="440" w:bottom="280" w:left="46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231F20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ab/>
      </w:r>
      <w:r>
        <w:rPr>
          <w:rFonts w:ascii="Times New Roman" w:hAnsi="Times New Roman" w:cs="Times New Roman"/>
          <w:color w:val="231F20"/>
          <w:u w:val="single"/>
        </w:rPr>
        <w:t xml:space="preserve">При</w:t>
      </w:r>
      <w:r>
        <w:rPr>
          <w:rFonts w:ascii="Times New Roman" w:hAnsi="Times New Roman" w:cs="Times New Roman"/>
          <w:color w:val="231F20"/>
          <w:spacing w:val="7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КПУ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&lt;</w:t>
      </w:r>
      <w:r>
        <w:rPr>
          <w:rFonts w:ascii="Times New Roman" w:hAnsi="Times New Roman" w:cs="Times New Roman"/>
          <w:color w:val="231F20"/>
          <w:spacing w:val="7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8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сроки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7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на</w:t>
      </w:r>
      <w:r>
        <w:rPr>
          <w:rFonts w:ascii="Times New Roman" w:hAnsi="Times New Roman" w:cs="Times New Roman"/>
          <w:color w:val="231F20"/>
          <w:spacing w:val="8"/>
          <w:u w:val="single"/>
        </w:rPr>
        <w:t xml:space="preserve"> </w:t>
      </w:r>
      <w:r>
        <w:rPr>
          <w:rFonts w:ascii="Times New Roman" w:hAnsi="Times New Roman" w:cs="Times New Roman"/>
          <w:color w:val="231F20"/>
          <w:u w:val="single"/>
        </w:rPr>
        <w:t xml:space="preserve">50%</w:t>
      </w:r>
      <w:r>
        <w:rPr>
          <w:rFonts w:ascii="Times New Roman" w:hAnsi="Times New Roman" w:cs="Times New Roman"/>
          <w:color w:val="231F20"/>
          <w:spacing w:val="17"/>
          <w:u w:val="single"/>
        </w:rPr>
        <w:t xml:space="preserve"> </w:t>
      </w:r>
      <w:r/>
    </w:p>
    <w:p>
      <w:pPr>
        <w:pStyle w:val="641"/>
        <w:ind w:left="881"/>
        <w:spacing w:before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spacing w:val="-2"/>
        </w:rPr>
        <w:t xml:space="preserve">15-18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 xml:space="preserve">лет</w:t>
      </w:r>
      <w:r/>
    </w:p>
    <w:p>
      <w:pPr>
        <w:pStyle w:val="641"/>
        <w:ind w:left="108" w:right="5322"/>
        <w:spacing w:before="18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КПУ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7-9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30%</w:t>
      </w:r>
      <w:r>
        <w:rPr>
          <w:rFonts w:ascii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КПУ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&lt;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9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50%</w:t>
      </w:r>
      <w:r/>
    </w:p>
    <w:p>
      <w:pPr>
        <w:spacing w:line="254" w:lineRule="auto"/>
        <w:rPr>
          <w:rFonts w:ascii="Times New Roman" w:hAnsi="Times New Roman" w:cs="Times New Roman"/>
        </w:rPr>
        <w:sectPr>
          <w:footnotePr/>
          <w:endnotePr/>
          <w:type w:val="continuous"/>
          <w:pgSz w:w="12250" w:h="17180" w:orient="portrait"/>
          <w:pgMar w:top="620" w:right="440" w:bottom="280" w:left="460" w:header="720" w:footer="720" w:gutter="0"/>
          <w:cols w:num="2" w:sep="0" w:space="720" w:equalWidth="0">
            <w:col w:w="1755" w:space="40"/>
            <w:col w:w="9555" w:space="0"/>
          </w:cols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pStyle w:val="641"/>
        <w:ind w:left="0"/>
        <w:spacing w:before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</w:r>
      <w:r/>
    </w:p>
    <w:p>
      <w:pPr>
        <w:pStyle w:val="634"/>
        <w:ind w:left="101"/>
        <w:spacing w:before="101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При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неудовлетворительной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гигиене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полости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рта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сроки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снижаются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70%,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согласно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Индексу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зубного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налёта</w:t>
      </w:r>
      <w:r>
        <w:rPr>
          <w:rFonts w:ascii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(</w:t>
      </w:r>
      <w:r>
        <w:rPr>
          <w:rFonts w:ascii="Times New Roman" w:hAnsi="Times New Roman" w:cs="Times New Roman"/>
          <w:color w:val="231F20"/>
        </w:rPr>
        <w:t xml:space="preserve">Silness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&amp;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Loe</w:t>
      </w:r>
      <w:r>
        <w:rPr>
          <w:rFonts w:ascii="Times New Roman" w:hAnsi="Times New Roman" w:cs="Times New Roman"/>
          <w:color w:val="231F20"/>
        </w:rPr>
        <w:t xml:space="preserve">,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1964)</w:t>
      </w:r>
      <w:r>
        <w:rPr>
          <w:rFonts w:ascii="Times New Roman" w:hAnsi="Times New Roman" w:cs="Times New Roman"/>
          <w:color w:val="231F20"/>
        </w:rPr>
        <w:t xml:space="preserve"> </w:t>
      </w:r>
      <w:r/>
    </w:p>
    <w:p>
      <w:pPr>
        <w:pStyle w:val="634"/>
        <w:ind w:left="101"/>
        <w:spacing w:before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Для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ортопедических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работ:</w:t>
      </w:r>
      <w:r/>
    </w:p>
    <w:p>
      <w:pPr>
        <w:pStyle w:val="641"/>
        <w:ind w:right="137"/>
        <w:spacing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При неудовлетворительной гигиене полости рта на все виды протезирования сроки снижаются на 50%, согласно</w:t>
      </w:r>
      <w:r>
        <w:rPr>
          <w:rFonts w:ascii="Times New Roman" w:hAnsi="Times New Roman" w:cs="Times New Roman"/>
          <w:color w:val="231F20"/>
          <w:spacing w:val="-5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Индексу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зубного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налёта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(</w:t>
      </w:r>
      <w:r>
        <w:rPr>
          <w:rFonts w:ascii="Times New Roman" w:hAnsi="Times New Roman" w:cs="Times New Roman"/>
          <w:color w:val="231F20"/>
        </w:rPr>
        <w:t xml:space="preserve">Silness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&amp;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Loe</w:t>
      </w:r>
      <w:r>
        <w:rPr>
          <w:rFonts w:ascii="Times New Roman" w:hAnsi="Times New Roman" w:cs="Times New Roman"/>
          <w:color w:val="231F20"/>
        </w:rPr>
        <w:t xml:space="preserve">,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1964).</w:t>
      </w:r>
      <w:r/>
    </w:p>
    <w:p>
      <w:pPr>
        <w:pStyle w:val="641"/>
        <w:ind w:left="0"/>
        <w:spacing w:before="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pStyle w:val="641"/>
        <w:ind w:left="161" w:right="266" w:firstLine="247"/>
        <w:spacing w:before="119" w:line="254" w:lineRule="auto"/>
        <w:rPr>
          <w:rFonts w:ascii="Times New Roman" w:hAnsi="Times New Roman" w:cs="Times New Roman"/>
        </w:rPr>
        <w:sectPr>
          <w:footnotePr/>
          <w:endnotePr/>
          <w:type w:val="continuous"/>
          <w:pgSz w:w="12250" w:h="17180" w:orient="portrait"/>
          <w:pgMar w:top="620" w:right="440" w:bottom="280" w:left="46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pStyle w:val="64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Гарантийные обязательства в отношении стоматологических услуг</w:t>
      </w:r>
      <w:r/>
    </w:p>
    <w:p>
      <w:pPr>
        <w:pStyle w:val="643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43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стоматологические услуги, полезные свойства которых потребляются в процессе их оказания, результаты которых не имеют материального выражения, не представляется возможным у</w:t>
      </w:r>
      <w:r>
        <w:rPr>
          <w:rFonts w:ascii="Times New Roman" w:hAnsi="Times New Roman" w:cs="Times New Roman"/>
          <w:sz w:val="24"/>
          <w:szCs w:val="24"/>
        </w:rPr>
        <w:t xml:space="preserve">становить гарантийные сроки и сроки службы. Тем не менее, во всех перечисленных случаях клиника гарантирует соблюдение общепринятых стандартов и алгоритмов оказания медицинской помощи, а также дает определенные ниже прогнозы успешности проводимого лечения.</w:t>
      </w:r>
      <w:r/>
    </w:p>
    <w:p>
      <w:pPr>
        <w:pStyle w:val="64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случаях оказания стоматологических услуг безусловно гарантируется: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полной, достоверной и доступной по форме информации о состоянии здоровья пациентов;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консультации и консилиума — как по медицинским показаниям, так и по требованию пациента;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лечения специалистами, имеющими сертификаты, подтверждающие право на осуществление данного вида медицинской помощи;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рекомендуемого (предлагаемого) плана лечения;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подбор анестетиков, что позволяет в максимальной степени исключить болевые ощущения;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лечения — обеспечивается соответствием стандартов и комплексом санитарно-</w:t>
      </w:r>
      <w:r>
        <w:rPr>
          <w:rFonts w:ascii="Times New Roman" w:hAnsi="Times New Roman" w:cs="Times New Roman"/>
          <w:sz w:val="24"/>
          <w:szCs w:val="24"/>
        </w:rPr>
        <w:t xml:space="preserve">эпидемиоло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гических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использованием разрешенных к применению технологий и материалов;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точная диагностика;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тщательное соблюдение технологий лечения;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технологически безопасных, разрешенных Минздравом РФ материалов, не утративших сроков годности;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контрольных осмотров;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осмотров;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устранению или снижению степени осложнений, которые могут возникнуть в процессе или после лечения;</w:t>
      </w:r>
      <w:r/>
    </w:p>
    <w:p>
      <w:pPr>
        <w:pStyle w:val="643"/>
        <w:numPr>
          <w:ilvl w:val="0"/>
          <w:numId w:val="15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риска повторения или обострения выявленных заболеваний;</w:t>
      </w:r>
      <w:r/>
    </w:p>
    <w:p>
      <w:pPr>
        <w:pStyle w:val="64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Совокупность данных обязательных гарантий создает предпосылку для качественного лечения и устойчивости его результатов.</w:t>
      </w:r>
      <w:r/>
    </w:p>
    <w:p>
      <w:pPr>
        <w:pStyle w:val="643"/>
        <w:ind w:left="9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Прогнозы успешности оказываемых стоматологических услуг:</w:t>
      </w:r>
      <w:r/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43"/>
        <w:numPr>
          <w:ilvl w:val="0"/>
          <w:numId w:val="16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При обработке и пломбировании корневых каналов: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Опыт нашей клиники показывает, что при лече</w:t>
      </w:r>
      <w:r>
        <w:rPr>
          <w:rFonts w:ascii="Times New Roman" w:hAnsi="Times New Roman" w:cs="Times New Roman"/>
        </w:rPr>
        <w:t xml:space="preserve">нии каналов благоприятный результат в среднем достигается в 90% случаев. Успех лечения корневых каналов при первичном лечении зубов без рентгенологического изменения 93% успеха. При первичном лечении зубов и изменением на рентгенограмме 70-80% успеха. При </w:t>
      </w:r>
      <w:r>
        <w:rPr>
          <w:rFonts w:ascii="Times New Roman" w:hAnsi="Times New Roman" w:cs="Times New Roman"/>
        </w:rPr>
        <w:t xml:space="preserve">перелечивании</w:t>
      </w:r>
      <w:r>
        <w:rPr>
          <w:rFonts w:ascii="Times New Roman" w:hAnsi="Times New Roman" w:cs="Times New Roman"/>
        </w:rPr>
        <w:t xml:space="preserve"> ранее леченного, имеющего рентгенологическое изменения, успех 60-65%. При сочетании </w:t>
      </w:r>
      <w:r>
        <w:rPr>
          <w:rFonts w:ascii="Times New Roman" w:hAnsi="Times New Roman" w:cs="Times New Roman"/>
        </w:rPr>
        <w:t xml:space="preserve">перелечивания</w:t>
      </w:r>
      <w:r>
        <w:rPr>
          <w:rFonts w:ascii="Times New Roman" w:hAnsi="Times New Roman" w:cs="Times New Roman"/>
        </w:rPr>
        <w:t xml:space="preserve"> ранее леченого канала зуба с хирургической операцией по удалению очага поражения из костной ткани успех 75%. Успех эндодонтического лечения временных зубов 93% при лечении методом </w:t>
      </w:r>
      <w:r>
        <w:rPr>
          <w:rFonts w:ascii="Times New Roman" w:hAnsi="Times New Roman" w:cs="Times New Roman"/>
        </w:rPr>
        <w:t xml:space="preserve">пульпотомии</w:t>
      </w:r>
      <w:r>
        <w:rPr>
          <w:rFonts w:ascii="Times New Roman" w:hAnsi="Times New Roman" w:cs="Times New Roman"/>
        </w:rPr>
        <w:t xml:space="preserve"> и 80% при лечении методом экстирпации.</w:t>
      </w:r>
      <w:r/>
    </w:p>
    <w:p>
      <w:pPr>
        <w:pStyle w:val="643"/>
        <w:numPr>
          <w:ilvl w:val="0"/>
          <w:numId w:val="16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При проведении операции костной пластики: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сегодняшний день успех аугментации на в/ч – 80-85%, аугментации на н/ч – 65-70%.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Нормальный прирост костной ткани в области проведения аугментации по завершению лечения составляет 60-70% от объема первично внесенной собственной и (или) искусственной костной ткани. Иногда бывает, что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операция проходит почти безрезультатно - </w:t>
      </w:r>
      <w:r>
        <w:rPr>
          <w:rFonts w:ascii="Times New Roman" w:hAnsi="Times New Roman" w:cs="Times New Roman"/>
        </w:rPr>
        <w:t xml:space="preserve">остеопластический</w:t>
      </w:r>
      <w:r>
        <w:rPr>
          <w:rFonts w:ascii="Times New Roman" w:hAnsi="Times New Roman" w:cs="Times New Roman"/>
        </w:rPr>
        <w:t xml:space="preserve"> материал рассасывается, костная ткань не </w:t>
      </w:r>
      <w:r>
        <w:rPr>
          <w:rFonts w:ascii="Times New Roman" w:hAnsi="Times New Roman" w:cs="Times New Roman"/>
        </w:rPr>
        <w:t xml:space="preserve">регене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рирует</w:t>
      </w:r>
      <w:r>
        <w:rPr>
          <w:rFonts w:ascii="Times New Roman" w:hAnsi="Times New Roman" w:cs="Times New Roman"/>
        </w:rPr>
        <w:t xml:space="preserve">. В этом случае необходимо повторить операцию, используя другие материалы.</w:t>
      </w:r>
      <w:r/>
    </w:p>
    <w:p>
      <w:pPr>
        <w:pStyle w:val="643"/>
        <w:numPr>
          <w:ilvl w:val="0"/>
          <w:numId w:val="16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При постановке имплантата: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приживаемости импланта составляет от 3-12 месяцев.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гарантируем полное приживление имплантатов в 97% случаев. Однако, есть 10% случаев, когда имплантат не </w:t>
      </w:r>
      <w:r>
        <w:rPr>
          <w:rFonts w:ascii="Times New Roman" w:hAnsi="Times New Roman" w:cs="Times New Roman"/>
        </w:rPr>
        <w:t xml:space="preserve">остеоинтегрируется</w:t>
      </w:r>
      <w:r>
        <w:rPr>
          <w:rFonts w:ascii="Times New Roman" w:hAnsi="Times New Roman" w:cs="Times New Roman"/>
        </w:rPr>
        <w:t xml:space="preserve"> (не приживается в кости) либо </w:t>
      </w:r>
      <w:r>
        <w:rPr>
          <w:rFonts w:ascii="Times New Roman" w:hAnsi="Times New Roman" w:cs="Times New Roman"/>
        </w:rPr>
        <w:t xml:space="preserve">остеоинтегрируется</w:t>
      </w:r>
      <w:r>
        <w:rPr>
          <w:rFonts w:ascii="Times New Roman" w:hAnsi="Times New Roman" w:cs="Times New Roman"/>
        </w:rPr>
        <w:t xml:space="preserve"> не полностью (его нельзя использовать как опору для зубного протеза) при полном соблюдении врачом хирургом стандарта проведения операции имплантации.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отсутствия </w:t>
      </w:r>
      <w:r>
        <w:rPr>
          <w:rFonts w:ascii="Times New Roman" w:hAnsi="Times New Roman" w:cs="Times New Roman"/>
        </w:rPr>
        <w:t xml:space="preserve">остеоинтеграции</w:t>
      </w:r>
      <w:r>
        <w:rPr>
          <w:rFonts w:ascii="Times New Roman" w:hAnsi="Times New Roman" w:cs="Times New Roman"/>
        </w:rPr>
        <w:t xml:space="preserve"> в указанный срок по оп</w:t>
      </w:r>
      <w:r>
        <w:rPr>
          <w:rFonts w:ascii="Times New Roman" w:hAnsi="Times New Roman" w:cs="Times New Roman"/>
        </w:rPr>
        <w:t xml:space="preserve">исанным причинам клиника в отдельных случаях может добровольно принять решение о единоразовом зачете стоимости имплантата и (или) операции в счет альтернативного протезирования либо принять решение о возврате стоимости имплантата и (или) операции пациенту.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подтверждения </w:t>
      </w:r>
      <w:r>
        <w:rPr>
          <w:rFonts w:ascii="Times New Roman" w:hAnsi="Times New Roman" w:cs="Times New Roman"/>
        </w:rPr>
        <w:t xml:space="preserve">остеоинтеграции</w:t>
      </w:r>
      <w:r>
        <w:rPr>
          <w:rFonts w:ascii="Times New Roman" w:hAnsi="Times New Roman" w:cs="Times New Roman"/>
        </w:rPr>
        <w:t xml:space="preserve"> на рентгенологическом снимке, а также фиксации факта </w:t>
      </w:r>
      <w:r>
        <w:rPr>
          <w:rFonts w:ascii="Times New Roman" w:hAnsi="Times New Roman" w:cs="Times New Roman"/>
        </w:rPr>
        <w:t xml:space="preserve">остеоинтеграции</w:t>
      </w:r>
      <w:r>
        <w:rPr>
          <w:rFonts w:ascii="Times New Roman" w:hAnsi="Times New Roman" w:cs="Times New Roman"/>
        </w:rPr>
        <w:t xml:space="preserve"> в истории болезни пациента, все риски возможного отторжения имплантата переходят на пациента.</w:t>
      </w:r>
      <w:r/>
    </w:p>
    <w:p>
      <w:pPr>
        <w:pStyle w:val="643"/>
        <w:numPr>
          <w:ilvl w:val="0"/>
          <w:numId w:val="16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При лечении заболеваний пародонта: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выполнении пациентом рекомендаций врача, изложенных в правилах пользования результатами </w:t>
      </w:r>
      <w:r>
        <w:rPr>
          <w:rFonts w:ascii="Times New Roman" w:hAnsi="Times New Roman" w:cs="Times New Roman"/>
        </w:rPr>
        <w:t xml:space="preserve">стоматологических услуг, мы гарантируем снижение микробной нагрузки, в результате лечения тканей пародонта в области очага воспаления становятся стерильными, резко повышается местный иммунитет, исчезают симптомы воспаления.</w:t>
      </w:r>
      <w:r/>
    </w:p>
    <w:p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643"/>
        <w:numPr>
          <w:ilvl w:val="0"/>
          <w:numId w:val="16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При проведении профессиональной гигиенической обработки, отбеливании зубов и </w:t>
      </w:r>
      <w:r>
        <w:rPr>
          <w:rFonts w:ascii="Times New Roman" w:hAnsi="Times New Roman" w:cs="Times New Roman"/>
          <w:b/>
          <w:u w:val="single"/>
        </w:rPr>
        <w:t xml:space="preserve">ортодонтическом</w:t>
      </w:r>
      <w:r>
        <w:rPr>
          <w:rFonts w:ascii="Times New Roman" w:hAnsi="Times New Roman" w:cs="Times New Roman"/>
          <w:b/>
          <w:u w:val="single"/>
        </w:rPr>
        <w:t xml:space="preserve"> лечении: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гарантирует</w:t>
      </w:r>
      <w:r>
        <w:rPr>
          <w:rFonts w:ascii="Times New Roman" w:hAnsi="Times New Roman" w:cs="Times New Roman"/>
        </w:rPr>
        <w:t xml:space="preserve"> выполнение перечисленных манипуляций в соответствии с требованиями общепринятых стандартов и клинических рекомендаций.</w:t>
      </w:r>
      <w:r/>
    </w:p>
    <w:p>
      <w:pPr>
        <w:pStyle w:val="643"/>
        <w:numPr>
          <w:ilvl w:val="0"/>
          <w:numId w:val="16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При проведении клинического отбеливания:</w:t>
      </w:r>
      <w:r/>
    </w:p>
    <w:p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выполнении пациентом рекомендаций врача, изложенных в правилах пользования результатами стоматологических услуг, мы можем гарантировать длительность сохр</w:t>
      </w:r>
      <w:bookmarkStart w:id="1" w:name="_GoBack"/>
      <w:r/>
      <w:bookmarkEnd w:id="1"/>
      <w:r>
        <w:rPr>
          <w:rFonts w:ascii="Times New Roman" w:hAnsi="Times New Roman" w:cs="Times New Roman"/>
        </w:rPr>
        <w:t xml:space="preserve">анения эффекта отбеливания. Клинические исследования показывают, что через 1-3 года эффект отбеливания сохраняется у 74% пациентов, через 3-5 лет – у 62% пациентов.</w:t>
      </w:r>
      <w:r/>
    </w:p>
    <w:p>
      <w:pPr>
        <w:jc w:val="both"/>
      </w:pPr>
      <w:r/>
      <w:r/>
    </w:p>
    <w:sectPr>
      <w:footnotePr/>
      <w:endnotePr/>
      <w:type w:val="nextPage"/>
      <w:pgSz w:w="12250" w:h="17180" w:orient="portrait"/>
      <w:pgMar w:top="280" w:right="440" w:bottom="280" w:left="4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  <w:rPr>
        <w:rFonts w:hint="default"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8" w:hanging="360"/>
      </w:pPr>
      <w:rPr>
        <w:rFonts w:hint="default"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1" w:hanging="101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224" w:hanging="101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101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473" w:hanging="101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101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722" w:hanging="101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847" w:hanging="101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972" w:hanging="101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9096" w:hanging="101"/>
      </w:pPr>
      <w:rPr>
        <w:rFonts w:hint="default"/>
        <w:lang w:val="ru-RU" w:bidi="ar-SA" w:eastAsia="en-U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1" w:hanging="126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-"/>
      <w:lvlJc w:val="left"/>
      <w:pPr>
        <w:ind w:left="447" w:hanging="126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651" w:hanging="126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863" w:hanging="126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075" w:hanging="126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287" w:hanging="126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498" w:hanging="126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710" w:hanging="126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922" w:hanging="126"/>
      </w:pPr>
      <w:rPr>
        <w:rFonts w:hint="default"/>
        <w:lang w:val="ru-RU" w:bidi="ar-SA" w:eastAsia="en-U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2" w:hanging="170"/>
        <w:jc w:val="right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345" w:hanging="170"/>
      </w:pPr>
      <w:rPr>
        <w:rFonts w:hint="default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1365" w:hanging="170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2615" w:hanging="170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3866" w:hanging="170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117" w:hanging="170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170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618" w:hanging="170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869" w:hanging="170"/>
      </w:pPr>
      <w:rPr>
        <w:rFonts w:hint="default"/>
        <w:lang w:val="ru-RU" w:bidi="ar-SA" w:eastAsia="en-U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ascii="Microsoft Sans Serif" w:hAnsi="Microsoft Sans Serif" w:cs="Microsoft Sans Serif" w:eastAsia="Microsoft Sans Serif" w:hint="default"/>
        <w:color w:val="231F20"/>
        <w:sz w:val="22"/>
        <w:szCs w:val="22"/>
        <w:lang w:val="ru-RU" w:bidi="ar-SA" w:eastAsia="en-U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15"/>
  </w:num>
  <w:num w:numId="10">
    <w:abstractNumId w:val="16"/>
  </w:num>
  <w:num w:numId="11">
    <w:abstractNumId w:val="5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35"/>
    <w:link w:val="63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35"/>
    <w:link w:val="63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2"/>
    <w:next w:val="63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2"/>
    <w:next w:val="63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5"/>
    <w:link w:val="32"/>
    <w:uiPriority w:val="10"/>
    <w:rPr>
      <w:sz w:val="48"/>
      <w:szCs w:val="48"/>
    </w:rPr>
  </w:style>
  <w:style w:type="paragraph" w:styleId="34">
    <w:name w:val="Subtitle"/>
    <w:basedOn w:val="632"/>
    <w:next w:val="63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5"/>
    <w:link w:val="34"/>
    <w:uiPriority w:val="11"/>
    <w:rPr>
      <w:sz w:val="24"/>
      <w:szCs w:val="24"/>
    </w:rPr>
  </w:style>
  <w:style w:type="paragraph" w:styleId="36">
    <w:name w:val="Quote"/>
    <w:basedOn w:val="632"/>
    <w:next w:val="63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2"/>
    <w:next w:val="63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35"/>
    <w:link w:val="40"/>
    <w:uiPriority w:val="99"/>
  </w:style>
  <w:style w:type="paragraph" w:styleId="42">
    <w:name w:val="Footer"/>
    <w:basedOn w:val="63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35"/>
    <w:link w:val="42"/>
    <w:uiPriority w:val="99"/>
  </w:style>
  <w:style w:type="paragraph" w:styleId="44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5"/>
    <w:uiPriority w:val="99"/>
    <w:unhideWhenUsed/>
    <w:rPr>
      <w:vertAlign w:val="superscript"/>
    </w:rPr>
  </w:style>
  <w:style w:type="paragraph" w:styleId="176">
    <w:name w:val="endnote text"/>
    <w:basedOn w:val="63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5"/>
    <w:uiPriority w:val="99"/>
    <w:semiHidden/>
    <w:unhideWhenUsed/>
    <w:rPr>
      <w:vertAlign w:val="superscript"/>
    </w:rPr>
  </w:style>
  <w:style w:type="paragraph" w:styleId="179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qFormat/>
    <w:pPr>
      <w:spacing w:after="0" w:line="240" w:lineRule="auto"/>
      <w:widowControl w:val="off"/>
    </w:pPr>
    <w:rPr>
      <w:rFonts w:ascii="Microsoft Sans Serif" w:hAnsi="Microsoft Sans Serif" w:cs="Microsoft Sans Serif" w:eastAsia="Microsoft Sans Serif"/>
    </w:rPr>
  </w:style>
  <w:style w:type="paragraph" w:styleId="633">
    <w:name w:val="Heading 1"/>
    <w:basedOn w:val="632"/>
    <w:link w:val="638"/>
    <w:uiPriority w:val="9"/>
    <w:qFormat/>
    <w:pPr>
      <w:ind w:left="1032"/>
      <w:spacing w:before="1"/>
      <w:outlineLvl w:val="0"/>
    </w:pPr>
    <w:rPr>
      <w:rFonts w:ascii="Arial" w:hAnsi="Arial" w:cs="Arial" w:eastAsia="Arial"/>
      <w:b/>
      <w:bCs/>
      <w:sz w:val="30"/>
      <w:szCs w:val="30"/>
    </w:rPr>
  </w:style>
  <w:style w:type="paragraph" w:styleId="634">
    <w:name w:val="Heading 2"/>
    <w:basedOn w:val="632"/>
    <w:link w:val="639"/>
    <w:uiPriority w:val="9"/>
    <w:unhideWhenUsed/>
    <w:qFormat/>
    <w:pPr>
      <w:ind w:left="241"/>
      <w:outlineLvl w:val="1"/>
    </w:pPr>
    <w:rPr>
      <w:rFonts w:ascii="Arial" w:hAnsi="Arial" w:cs="Arial" w:eastAsia="Arial"/>
      <w:b/>
      <w:bCs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character" w:styleId="638" w:customStyle="1">
    <w:name w:val="Заголовок 1 Знак"/>
    <w:basedOn w:val="635"/>
    <w:link w:val="633"/>
    <w:uiPriority w:val="9"/>
    <w:rPr>
      <w:rFonts w:ascii="Arial" w:hAnsi="Arial" w:cs="Arial" w:eastAsia="Arial"/>
      <w:b/>
      <w:bCs/>
      <w:sz w:val="30"/>
      <w:szCs w:val="30"/>
    </w:rPr>
  </w:style>
  <w:style w:type="character" w:styleId="639" w:customStyle="1">
    <w:name w:val="Заголовок 2 Знак"/>
    <w:basedOn w:val="635"/>
    <w:link w:val="634"/>
    <w:uiPriority w:val="9"/>
    <w:rPr>
      <w:rFonts w:ascii="Arial" w:hAnsi="Arial" w:cs="Arial" w:eastAsia="Arial"/>
      <w:b/>
      <w:bCs/>
    </w:rPr>
  </w:style>
  <w:style w:type="table" w:styleId="640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41">
    <w:name w:val="Body Text"/>
    <w:basedOn w:val="632"/>
    <w:link w:val="642"/>
    <w:uiPriority w:val="1"/>
    <w:qFormat/>
    <w:pPr>
      <w:ind w:left="101"/>
      <w:spacing w:before="15"/>
    </w:pPr>
  </w:style>
  <w:style w:type="character" w:styleId="642" w:customStyle="1">
    <w:name w:val="Основной текст Знак"/>
    <w:basedOn w:val="635"/>
    <w:link w:val="641"/>
    <w:uiPriority w:val="1"/>
    <w:rPr>
      <w:rFonts w:ascii="Microsoft Sans Serif" w:hAnsi="Microsoft Sans Serif" w:cs="Microsoft Sans Serif" w:eastAsia="Microsoft Sans Serif"/>
    </w:rPr>
  </w:style>
  <w:style w:type="paragraph" w:styleId="643">
    <w:name w:val="List Paragraph"/>
    <w:basedOn w:val="632"/>
    <w:uiPriority w:val="1"/>
    <w:qFormat/>
    <w:pPr>
      <w:ind w:left="463" w:hanging="126"/>
      <w:spacing w:before="15"/>
    </w:pPr>
  </w:style>
  <w:style w:type="paragraph" w:styleId="644" w:customStyle="1">
    <w:name w:val="Table Paragraph"/>
    <w:basedOn w:val="632"/>
    <w:uiPriority w:val="1"/>
    <w:qFormat/>
    <w:rPr>
      <w:rFonts w:ascii="Times New Roman" w:hAnsi="Times New Roman" w:cs="Times New Roman" w:eastAsia="Times New Roman"/>
    </w:rPr>
  </w:style>
  <w:style w:type="character" w:styleId="645" w:customStyle="1">
    <w:name w:val="Body text (2)"/>
    <w:basedOn w:val="635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color w:val="000000"/>
      <w:spacing w:val="0"/>
      <w:position w:val="0"/>
      <w:sz w:val="22"/>
      <w:szCs w:val="22"/>
      <w:u w:val="none"/>
      <w:lang w:val="ru-RU" w:bidi="ru-RU" w:eastAsia="ru-RU"/>
    </w:rPr>
  </w:style>
  <w:style w:type="table" w:styleId="646">
    <w:name w:val="Table Grid"/>
    <w:basedOn w:val="636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7">
    <w:name w:val="Balloon Text"/>
    <w:basedOn w:val="632"/>
    <w:link w:val="6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8" w:customStyle="1">
    <w:name w:val="Текст выноски Знак"/>
    <w:basedOn w:val="635"/>
    <w:link w:val="647"/>
    <w:uiPriority w:val="99"/>
    <w:semiHidden/>
    <w:rPr>
      <w:rFonts w:ascii="Segoe UI" w:hAnsi="Segoe UI" w:cs="Segoe UI" w:eastAsia="Microsoft Sans Serif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Апраксина</cp:lastModifiedBy>
  <cp:revision>3</cp:revision>
  <dcterms:created xsi:type="dcterms:W3CDTF">2023-10-27T15:09:00Z</dcterms:created>
  <dcterms:modified xsi:type="dcterms:W3CDTF">2023-10-30T08:31:21Z</dcterms:modified>
</cp:coreProperties>
</file>